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2008/90 vom 2. März 2009</w:t>
      </w:r>
    </w:p>
    <w:p>
      <w:r>
        <w:t>Sg Versicherungsgericht, 2009-03-02, DE</w:t>
      </w:r>
    </w:p>
    <w:p>
      <w:r>
        <w:rPr>
          <w:b/>
        </w:rPr>
        <w:t xml:space="preserve">Quelle: </w:t>
      </w:r>
      <w:r>
        <w:t>https://mcp.opencaselaw.ch/entscheid/sg_publikationen_IV 2008_90</w:t>
      </w:r>
    </w:p>
    <w:p>
      <w:r>
        <w:t>FR: SG_VERSICHERUNGSGERICHT IV 2008/90 du 2 mars 2009</w:t>
      </w:r>
    </w:p>
    <w:p>
      <w:r>
        <w:t>IT: SG_VERSICHERUNGSGERICHT IV 2008/90 del 2 marzo 2009</w:t>
      </w:r>
    </w:p>
    <w:p>
      <w:pPr>
        <w:pStyle w:val="Heading2"/>
      </w:pPr>
      <w:r>
        <w:t>Regeste</w:t>
      </w:r>
    </w:p>
    <w:p>
      <w:r>
        <w:t>Art. 28 IVG. Rentenanspruch. Erhebliche Zweifel an der medizinischen Aktenlage. Rückweisung zu weiteren medizinischen Abklärungen (Entscheid des Versicherungsgerichts des Kantons St. Gallen vom 2. März 2009, IV 2008/90).</w:t>
      </w:r>
    </w:p>
    <w:p>
      <w:pPr>
        <w:pStyle w:val="Heading2"/>
      </w:pPr>
      <w:r>
        <w:t>Erwägungen</w:t>
      </w:r>
    </w:p>
    <w:p>
      <w:r>
        <w:rPr>
          <w:b/>
        </w:rPr>
        <w:t>E. 1.1</w:t>
      </w:r>
    </w:p>
    <w:p>
      <w:r>
        <w:t>Die Beschwerdeführerin lässt in formeller Hinsicht rügen, dass in der angefochtenen Verfügung auf ihre im Einwand vorgetragenen Argumente nicht genügend eingegangen worden sei. Dadurch sei das rechtliche Gehör verletzt worden.</w:t>
      </w:r>
    </w:p>
    <w:p>
      <w:r>
        <w:rPr>
          <w:b/>
        </w:rPr>
        <w:t>E. 1.2</w:t>
      </w:r>
    </w:p>
    <w:p>
      <w:r>
        <w:t>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Die Begründung muss so abgefasst sein, dass der Betroffene den Entscheid gegebenenfalls sachgerecht anfechten kann. In diesem Sinn müssen wenigstens kurz die Überlegungen genannt werden, von denen sich die Behörde leiten liess und auf welche sich ihr Entscheid stützt (BGE 112 Ia 107 E. 2b mit Hinweisen; BGE 118 V 58).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 Mit Erlass von Art. 57a des Bundesgesetzes über die Invalidenversicherung (IVG; SR 831.20), worin in der Invalidenversicherung das Vorbescheidverfahren wieder eingeführt wurde, sind an die Begründungsdichte von Verfügungen, die nach Durchführung eines Vorbescheidverfahrens gemäss Art. 57a IVG ergehen, erhöhte Anforderungen zu stellen (vgl. hierzu eingehend Urteil des Sozialversicherungsgerichts des Kantons Zürich vom 30. Mai 2007, IV.2007.00436, E. 1.8 ff.).</w:t>
      </w:r>
    </w:p>
    <w:p>
      <w:r>
        <w:rPr>
          <w:b/>
        </w:rPr>
        <w:t>E. 1.3</w:t>
      </w:r>
    </w:p>
    <w:p>
      <w:r>
        <w:t>Die Beschwerdegegnerin begründete die angefochtene Verfügung (act. G 3.92) im Wesentlichen mit dem Hinweis auf die rechtlichen Grundlagen der Zusprechung von Rentenleistungen und die Stellungnahme des RAD. Der restliche, überwiegende Teil der Begründung besteht aus für den vorliegenden Fall nicht einschlägigen Textbausteinen. Die Beschwerdegegnerin legte dar, auf welchen Abklärungsergebnissen sie ihre Leistungsablehnung stützte. Sie zeigte damit die Überlegungen, von denen sie sich leiten liess, in knapper Weise auf und setzte sich mit den wesentlichen Gesichtspunkten – wenn auch nur äusserst kurz – auseinander. Ein Begründungsmangel ist daher zu verneinen. Aber selbst wenn – wie der Beschwerdeführer rügen lässt – von einer Verletzung der Begründungspflicht auszugehen wäre, dürfte der Mangel im vorliegenden Verfahren als geheilt gelten, zumal der Beschwerdeführer selbst auch keine Rückweisung aus formellen Gründen, sondern eine materielle Beurteilung beantragt hat.</w:t>
      </w:r>
    </w:p>
    <w:p>
      <w:r>
        <w:rPr>
          <w:b/>
        </w:rPr>
        <w:t>E. 2</w:t>
      </w:r>
    </w:p>
    <w:p>
      <w:r>
        <w:t>Zwischen den Parteien ist in formeller Hinsicht ferner die Frage streitig, ob der Anspruch auf Arbeitsvermittlung ausserhalb des für das vorliegende Beschwerdeverfahren massgebenden Anfechtungsgegenstandes liegt. Über die vom Beschwerdeführer beantragte Arbeitsvermittlung entschied die Beschwerdegegnerin in der Mitteilung vom 10. Dezember 2007 (act. G 3.87). In der angefochtenen Verfügung beurteilte die Beschwerdegegnerin jedoch lediglich die Frage des Rentenanspruchs (act. G 3.92). Zur Frage des Anspruchs auf Arbeitsvermittlung fehlt es mithin am erforderlichen Anfechtungsgegenstand. Die Frage, ob der Anfechtungsgegenstand auf das Begehren um Arbeitsvermittlung auszudehnen wäre, kann indessen vorliegend offen gelassen werden, da ein allfälliger Anspruch noch nicht spruchreif ist, wie nachfolgend zu zeigen sein wird.</w:t>
      </w:r>
    </w:p>
    <w:p>
      <w:r>
        <w:rPr>
          <w:b/>
        </w:rPr>
        <w:t>E. 3.1</w:t>
      </w:r>
    </w:p>
    <w:p>
      <w:r>
        <w:t>In materieller Hinsicht ist zwischen den Parteien vorab der Anspruch auf Rentenleistungen streitig.</w:t>
      </w:r>
    </w:p>
    <w:p>
      <w:r>
        <w:rPr>
          <w:b/>
        </w:rPr>
        <w:t>E. 3.2</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11. Januar 2008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3.3</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3.4</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4.1</w:t>
      </w:r>
    </w:p>
    <w:p>
      <w:r>
        <w:t>Zu prüfen ist vorab, ob die medizinische Aktenlage eine rechtsgenügliche Beurteilung der Arbeitsfähigkeit des Beschwerdeführers erlaubt. In den Akten liegen das psychiatrische Gutachten von Dr. C.___ vom 30. Oktober 2003 bzw. 7. Januar 2004 (act. G 3.19 und 3.25), des Psychiatrischen Zentrums Wil vom 29. Juni 2005 (act. G 3.40) und vom psychiatrischen Facharzt G.___ vom 5. Juni 2007 (act. G 3.68) sowie diverse Stellungnahmen der behandelnden Ärzte (vgl. etwa act. G 3.9, 3.32 und 3.54).</w:t>
      </w:r>
    </w:p>
    <w:p>
      <w:r>
        <w:rPr>
          <w:b/>
        </w:rPr>
        <w:t>E. 4.2</w:t>
      </w:r>
    </w:p>
    <w:p>
      <w:r>
        <w:t>Hauptgrundlage der medizinischen Beurteilung durch die Beschwerdegegnerin bilden die psychiatrischen Gutachten, namentlich das zu letzt erstellte Gutachten des Psychiaters G.___ vom 5. Juni 2007 (act. G 3.68). Dieses schliesst sich der Beurteilung der beiden vorherigen Gutachten im Wesentlichen an (act. G 3.68.13). Der Psychiater G.___ ist wie Dr. C.___ prinzipiell von einer vollen Leistungsfähigkeit ausgegangen (act. G 3.19.4 und act. G 3.68.11). Der behandelnde Dr. F.___ kam ebenfalls zum Schluss, dass dem Beschwerdeführer die bisherige Tätigkeit als Hilfsarbeiter prinzipiell zumutbar sei. Unklar bleibe jedoch, ob er einem Arbeitgeber zumutbar sei (act. G 3.54.4). Soweit die Gutachten hiervon Einschränkungen beschrieben, stützten sie sich aber praktisch einzig auf die vom Beschwerdeführer angegebenen – teilweise tätlichen – Impulsdurchbrüche, Konflikte am Arbeitsplatz und fristlosen Entlassungen (act. G 3.19.2, 3.19.4, 3.40.2, 3.40.6 f., 3.54.2, 3.68.6 und 3.68.11; vgl. auch die Angaben der behandelnden Ärzte: act. G 3.53.3 und 3.54.4), ohne dass dazu eine Fremdanamnese erhoben worden wäre und ohne dass bei einer Begutachtung bzw. im Rahmen einer Behandlung ein solcher Ausbruch ärztlicherseits beobachtet worden wäre. So führte Dr. C.___ etwa aus, dass grundsätzlich eine volle Leistungsfähigkeit für Hilfsarbeiten bestehe, gleichwohl es im Vollzug der Arbeit wiederholt zu Konflikten am Arbeitsplatz und deswegen zu fristlosen Entlassungen gekommen sei (act. G 3.19.4). Die medizinischen Fachpersonen gingen demnach grundsätzlich von einer vollen Leistungsfähigkeit aus (act. G 3.19.4, 3.25.2, 3.54.4 und 3.68.11), zogen diese bzw. deren Verwertbarkeit lediglich gestützt auf die Beschreibungen des Beschwerdeführers – ohne entsprechende objektive Anhaltspunkte und entgegen einer grundsätzlich unauffälligen Befunderhebung (act. G 3.19.3, G 3.54.2 und 3.68.8 ff.) – in Zweifel. Dem Gericht erscheint es indessen wenig plausibel und nicht nachvollziehbar, dass grundsätzlich eine Leistungsfähigkeit bestehen soll, diese indessen einzig aufgrund der - ungeprüften – beschwerdeführerischen Angaben zum eigenen Verhalten im beruflichen und familiären Umfeld in Frage gestellt bzw. verneint wird. Dies hat vorliegend umso mehr zu gelten, als das vom Beschwerdeführer geltend gemachte Verhalten im beruflichen Umfeld aktenkundig nicht zu Tage tritt. Vielmehr vermochte er in den Jahren 1994 bis 1998, mithin gemäss Angaben des Beschwerdeführers gegenüber der Psychiaterin E.___ nach seiner Drogenzeit, ununterbrochen für die gleiche Arbeitgeberin tätig zu sein (vgl. act. G 3.71). Ein weiteres – wenn auch nur ungefähr 5 Monate dauerndes – Arbeitsverhältnis vom Mai bis September 1998 wurde auf seinen eigenen Wunsch hin aufgelöst (act. G 19.1). In der Arbeitsbestätigung vom 3. Juni 1997 betreffend ein Arbeitsverhältnis vom November 1990 bis Oktober 1991 wurde ihm ausdrücklich ein untadeliges Verhalten bescheinigt (act. G 19.2). Hinzu kommt, dass sich in den Akten der Arbeitslosenversicherung keine Anhaltspunkte für eine Einstellung in der Taggeldberechtigung finden lassen, was mit den vom Beschwerdeführer ins Feld geführten wiederholten fristlosen Entlassungen (act. G 3.19.4) kontrastiert. Es lassen sich auch keine Hinweise für ein auffälliges Verhalten des Beschwerdeführers finden, insbesondere auch nicht während der von ihm ausgeübten Zwischenverdiensttätigkeiten oder anlässlich der Planung bzw. Ausführung der selbstständigen Tätigkeit als Wirt (vgl. act. G 14). Im Rahmen seiner Anmeldung bei der Arbeitslosenversicherung vom März 2000 wurde überdies ausdrücklich festgehalten, dass den Beschwerdeführer kein Verschulden am Stellenverlust treffe (act. G 14, Checkliste ALK 17 vom März 2000). Ob der Beschwerdeführer die selbstständige Tätigkeit als Wirt im März 2002 aus wirtschaftlichen Gründen oder wegen seines Verhaltens aufgeben musste, ist aktenmässig nicht belegt. Die Gutachten und übrigen medizinischen Stellungnahmen fussen somit lediglich auf die subjektiven Angaben des Beschwerdeführers, die sich mit den Akten der Arbeitslosenversicherung nicht vollständig vereinbaren lassen. Ins Gewicht fällt auch, dass anlässlich der psychiatrischen Untersuchungen bzw. Befunderhebungen keine Anzeichen für die geltend gemachten Wutausbrüche und Impulsdurchbrüche gefunden werden konnten (vgl. act. G 3.19.3 act. G 3.54.2 und 3.68.8 ff.). Die Grundlage der medizinischen Einschätzungen ist mithin als unzuverlässig zu bezeichnen, weshalb die daraus gezogenen Schlüsse nicht plausibel erscheinen. Vor diesem Hintergrund vermögen die in den Akten liegenden medizinischen Einschätzungen keine zuverlässige medizinische Grundlage für die Beurteilung der Leistungsfähigkeit des Beschwerdeführers zu bilden.</w:t>
      </w:r>
    </w:p>
    <w:p>
      <w:r>
        <w:rPr>
          <w:b/>
        </w:rPr>
        <w:t>E. 4.3</w:t>
      </w:r>
    </w:p>
    <w:p>
      <w:r>
        <w:t>Gegen die Aussagekraft der Gutachten spricht weiter, dass sich die Gutachter und Gutachterin – wie die übrigen beteiligten medizinischen Fachpersonen auch – mit einer eindeutigen psychiatrischen Diagnosestellung oder der Beurteilung der Arbeitsfähigkeit sehr schwer taten, mithin an ihren eigenen Einschätzungen erhebliche Zweifel äusserten (vgl. act. G 3.17, 3.19.3, 3.25.1, 3.40.5 f., 3.54.2 und 3.68.11). Die Gutachter und Gutachterin erhoben ferner je verschiedene Diagnosen (erworbene leichte hirnorganische Störung bzw. akzentuierte Persönlichkeitszüge einer reizbaren Persönlichkeit mit eingeschränkter Fähigkeit zur Steuerung aggressiver Impulse [ICD-10: Z73.1]: act. G 3.19.3 f.; Opioid- und Kokainabhängigkeit, gegenwärtig abstinent [ICD-10: F11.20 / F14.20], Opioid- und Kokainabhängigkeit, schädlicher Gebrauch [ICD-10: F11.1 / F14.1] und Low-dose-Benzodiazepinabhängigkeit [ICD-10: F13.8]: act. G 3.40.5; organisch affektive Störung [ICD-10: F06.3]: act. G 3.68.10), ohne dass dem Gericht eine davon im Vergleich zu den anderen als schlüssiger erscheint. Es drängen sich somit auch aus diesem Grund weitere Abklärungen auf.</w:t>
      </w:r>
    </w:p>
    <w:p>
      <w:r>
        <w:rPr>
          <w:b/>
        </w:rPr>
        <w:t>E. 4.4</w:t>
      </w:r>
    </w:p>
    <w:p>
      <w:r>
        <w:t>Nach eigenen Angaben des Beschwerdeführers manifestiert sich das von ihm geltend gemachte Leiden vornehmlich im familiären und beruflichen Umfeld (vgl. etwa act. G 3.68.6). Die Kenntnis, wie er in seinem familiären und beruflichen Umfeld erlebt wird, ist für die medizinische Beurteilung daher von grösster Bedeutung. Vor diesem Hintergrund erscheint das Einholen von Fremdauskünften für die medizinische Beurteilung seiner Arbeitsfähigkeit als wesentlich. Die bisher involvierten medizinischen Fachpersonen haben indessen auf das Einholen von aussagekräftigen Fremdauskünften aus dem beruflichen oder familiären Umfeld verzichtet, was zusätzlich gegen deren Beurteilung spricht. Zwar holte der psychiatrische Facharzt G.___ bei der Mutter des Beschwerdeführers eine – nicht weiterführende – Kurzauskunft ein und kontaktierte Dr. F.___ und Dr. B.___. Letzterer orientierte indessen lediglich über die Urinprobeabgabe. Bezüglich des Wesens des Beschwerdeführers vermochte er nichts zu sagen. Dr. F.___ seinerseits hat im Wesentlichen lediglich berichtet, dass er beim Beschwerdeführer in der Praxis die – vom Beschwerdeführer glaubhaft geschilderten – Impulsdurchbrüche nicht habe beobachten können (act. G 3.68.8 f.).</w:t>
      </w:r>
    </w:p>
    <w:p>
      <w:r>
        <w:rPr>
          <w:b/>
        </w:rPr>
        <w:t>E. 4.5</w:t>
      </w:r>
    </w:p>
    <w:p>
      <w:r>
        <w:t>Die medizinischen Fachpersonen vermögen sich auch nicht auf eine eingehende Verhaltensbeobachtung zu stützen. Eine mehr als nur ein paar Stunden dauernde, stationäre Verhaltensbeobachtung des Beschwerdeführers wäre indessen nicht zuletzt mit Blick auf das sporadische Auftreten seiner Beschwerden zumindest wünschenswert gewesen. Dies gilt umso mehr, als sich aus den Akten keine objektiven Informationen und aus dem familiären und beruflichen Umfeld keine grundanamnestisch bestätigten Angaben für Impulsstörungen und (tätliche) Gewaltausbrüche ergeben. Anlässlich der lediglich an einem Tag vorgenommenen psychiatrischen Untersuchungen konnten denn auch keine Hinweise auf eine mangelnde Impulskontrolle – auch nicht während der Beschwerdeführer von entsprechenden Erlebnissen berichtet habe – festgestellt werden (act. G 3.19.3 und 3.68.8). Selbst der ambulant behandelnde Psychiater vermochte – nebst den vom Beschwerdeführer geschilderten Wutanfällen – keinen auffälligen Befund zu erheben (act. G 3.54.2) und hat keine Impulsdurchbrüche beobachten können (act. G 3.68.9). Der begutachtende Psychiater G.___ berichtete, dass sich eine ausgeprägte Impulskontrollstörung wie bereits auch zu früheren Untersuchungszeitpunkten während der aktuellen Untersuchung psychopathologisch nicht habe fassen lassen (act. G 3.68.10).</w:t>
      </w:r>
    </w:p>
    <w:p>
      <w:r>
        <w:rPr>
          <w:b/>
        </w:rPr>
        <w:t>E. 4.6</w:t>
      </w:r>
    </w:p>
    <w:p>
      <w:r>
        <w:t>Die medizinische Aktenlage vermag nach dem Gesagten keine taugliche Grundlage für die Beurteilung der Arbeitsfähigkeit des Beschwerdeführers zu bilden. Vielmehr drängen sich – wie bereits Dr. C.___ zum Ausdruck brachte (vgl. act. G 3.17) – weitere Abklärungen auf. Dabei wird eine eingehende Fremdanamnese zu erheben sein, sei es bei Familienangehörigen, Gemeindebehörden oder auch Schulbehörden. Die Familie des Beschwerdeführers wird seit August 2003 durch die Gemeinde unterstützt (act. G 3.16), weshalb hier regelmässige Kontakte stattfinden dürften. Die älteren beiden Töchter besuchen die Schule, weshalb auch hier ein Fremdbild des Beschwerdeführers gegeben werden könnte. Im Übrigen ist bei derartigen schwierig einzuschätzenden Fällen von Rentenbegehren eine stationäre medizinische Begutachtung durchzuführen. Erst im Rahmen einer längeren, von der zu beauftragenden Gutachterperson noch zu bestimmenden Beobachtungszeit wird sich das ganze Verhalten und Beschwerdebild beurteilen lassen (vgl. Hermann Fredenhagen, Das ärztliche Gutachten, 3., vollständig überarbeitete Auflage, Bern 1994, S. 92).</w:t>
      </w:r>
    </w:p>
    <w:p>
      <w:r>
        <w:rPr>
          <w:b/>
        </w:rPr>
        <w:t>E. 5.1</w:t>
      </w:r>
    </w:p>
    <w:p>
      <w:r>
        <w:t>Nach dem Gesagten ist daher in teilweiser Gutheissung die angefochtene Verfügung vom 11. Januar 2008 aufzuheben. Die Sache ist zur Anordnung einer stationären psychiatrischen Begutachtung unter Einholen von Fremdauskünften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Somit unterliegt die Beschwerdegegnerin vollumfänglich. Sie hat deshalb die gesamte Gerichtsgebühr von Fr. 600.-- zu bezahlen. Auf die Erhebung eines Kostenvorschusses wurde aufgrund der Gewährung der unentgeltlichen Rechtspflege verzichtet, weshalb eine entsprechende Rückerstattung vorliegend entfällt.</w:t>
      </w:r>
    </w:p>
    <w:p>
      <w:r>
        <w:rPr>
          <w:b/>
        </w:rPr>
        <w:t>E. 5.3</w:t>
      </w:r>
    </w:p>
    <w:p>
      <w:r>
        <w:t>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Der Rechtsvertreter des Beschwerdeführers hat auf die Einreichung einer Honorarnote verzichtet. Der Bedeutung der Streitsache und dem Aufwand erscheint eine Parteientschädigung von Fr. 4'000.-- (einschliesslich Barauslagen und Mehrwertsteuer) als angemessen. Bei diesem Prozessausgang erübrigt sich die Festlegung einer Entschädigung aus unentgeltlicher Rechtsverbeiständung. Demgemäss hat das Versicherungsgericht entschieden: 1.  In teilweiser Gutheissung der Beschwerde wird die Verfügung vom 11. Januar 2008 aufgehoben und die Sache wird im Sinn der Erwägungen zur weiteren Abklärung und zur neuen Verfügung an die Beschwerdegegnerin zurückgewiesen. 2.  Die Beschwerdegegnerin hat eine Gerichtsgebühr von Fr. 600.-- zu bezahlen.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